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3EF" w:rsidRPr="00E06A64" w:rsidRDefault="000B0964" w:rsidP="000B0964">
      <w:pPr>
        <w:jc w:val="both"/>
        <w:rPr>
          <w:rFonts w:ascii="Palatino Linotype" w:hAnsi="Palatino Linotype"/>
          <w:b/>
          <w:bCs/>
        </w:rPr>
      </w:pPr>
      <w:r w:rsidRPr="000B0964">
        <w:rPr>
          <w:rFonts w:ascii="Palatino Linotype" w:hAnsi="Palatino Linotype"/>
          <w:b/>
          <w:bCs/>
        </w:rPr>
        <w:t>Continuing Medical Education Credits (ECMEC</w:t>
      </w:r>
      <w:r w:rsidRPr="000B0964">
        <w:rPr>
          <w:rFonts w:ascii="Palatino Linotype" w:hAnsi="Palatino Linotype"/>
          <w:b/>
          <w:bCs/>
          <w:vertAlign w:val="superscript"/>
        </w:rPr>
        <w:t>®</w:t>
      </w:r>
      <w:r w:rsidRPr="000B0964">
        <w:rPr>
          <w:rFonts w:ascii="Palatino Linotype" w:hAnsi="Palatino Linotype"/>
          <w:b/>
          <w:bCs/>
        </w:rPr>
        <w:t>)</w:t>
      </w:r>
      <w:r>
        <w:rPr>
          <w:rFonts w:ascii="Palatino Linotype" w:hAnsi="Palatino Linotype"/>
          <w:b/>
          <w:bCs/>
        </w:rPr>
        <w:t xml:space="preserve"> r</w:t>
      </w:r>
      <w:r w:rsidR="00E06A64" w:rsidRPr="000B0964">
        <w:rPr>
          <w:rFonts w:ascii="Palatino Linotype" w:hAnsi="Palatino Linotype"/>
          <w:b/>
          <w:bCs/>
        </w:rPr>
        <w:t>equest</w:t>
      </w:r>
      <w:r w:rsidR="001303EF" w:rsidRPr="00E06A64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f</w:t>
      </w:r>
      <w:r w:rsidR="001303EF" w:rsidRPr="00E06A64">
        <w:rPr>
          <w:rFonts w:ascii="Palatino Linotype" w:hAnsi="Palatino Linotype"/>
          <w:b/>
          <w:bCs/>
        </w:rPr>
        <w:t>orm</w:t>
      </w:r>
    </w:p>
    <w:p w:rsid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 xml:space="preserve">Webinar Series: </w:t>
      </w:r>
      <w:r w:rsidR="007C5FD5" w:rsidRPr="00E06A64">
        <w:rPr>
          <w:rFonts w:ascii="Palatino Linotype" w:hAnsi="Palatino Linotype"/>
          <w:b/>
          <w:bCs/>
        </w:rPr>
        <w:t>Antimicrobial stewardship, a role for biomarkers.</w:t>
      </w:r>
      <w:r w:rsidR="007C5FD5" w:rsidRPr="00E06A64">
        <w:rPr>
          <w:rFonts w:ascii="Palatino Linotype" w:hAnsi="Palatino Linotype"/>
        </w:rPr>
        <w:t xml:space="preserve"> 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 xml:space="preserve">Date of Sessions: </w:t>
      </w:r>
      <w:r w:rsidR="007C5FD5" w:rsidRPr="00E06A64">
        <w:rPr>
          <w:rFonts w:ascii="Palatino Linotype" w:hAnsi="Palatino Linotype"/>
        </w:rPr>
        <w:t>16 and 26 October, 9 November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 xml:space="preserve">Total Duration: </w:t>
      </w:r>
      <w:r w:rsidR="007C5FD5" w:rsidRPr="00E06A64">
        <w:rPr>
          <w:rFonts w:ascii="Palatino Linotype" w:hAnsi="Palatino Linotype"/>
        </w:rPr>
        <w:t>4,5 hours</w:t>
      </w:r>
    </w:p>
    <w:p w:rsidR="007C5FD5" w:rsidRPr="00E06A64" w:rsidRDefault="007C5FD5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Participant Information: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Name: ______________________________________________________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Professional Title: ____________________________________________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Email Address: ______________________________________________</w:t>
      </w:r>
      <w:r w:rsidR="00E06A64">
        <w:rPr>
          <w:rFonts w:ascii="Palatino Linotype" w:hAnsi="Palatino Linotype"/>
        </w:rPr>
        <w:t>_</w:t>
      </w:r>
    </w:p>
    <w:p w:rsid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Dear Participant,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Thank you for attending our webinar series "</w:t>
      </w:r>
      <w:r w:rsidR="00E06A64" w:rsidRPr="00E06A64">
        <w:rPr>
          <w:rFonts w:ascii="Palatino Linotype" w:hAnsi="Palatino Linotype"/>
        </w:rPr>
        <w:t>Antimicrobial stewardship, a role for biomarkers</w:t>
      </w:r>
      <w:r w:rsidRPr="00E06A64">
        <w:rPr>
          <w:rFonts w:ascii="Palatino Linotype" w:hAnsi="Palatino Linotype"/>
        </w:rPr>
        <w:t>"</w:t>
      </w:r>
      <w:r w:rsidR="00E06A64">
        <w:rPr>
          <w:rFonts w:ascii="Palatino Linotype" w:hAnsi="Palatino Linotype"/>
        </w:rPr>
        <w:t>.</w:t>
      </w:r>
      <w:r w:rsidRPr="00E06A64">
        <w:rPr>
          <w:rFonts w:ascii="Palatino Linotype" w:hAnsi="Palatino Linotype"/>
        </w:rPr>
        <w:t xml:space="preserve"> We are pleased to inform you that based on the guidelines of the European Accreditation Council for Continuing Medical Education (EACCME), you are eligible to receive Continuing Medical Education Credits (ECMEC</w:t>
      </w:r>
      <w:r w:rsidR="000B0964" w:rsidRPr="000B0964">
        <w:rPr>
          <w:rFonts w:ascii="Palatino Linotype" w:hAnsi="Palatino Linotype"/>
          <w:vertAlign w:val="superscript"/>
        </w:rPr>
        <w:t>®</w:t>
      </w:r>
      <w:r w:rsidRPr="00E06A64">
        <w:rPr>
          <w:rFonts w:ascii="Palatino Linotype" w:hAnsi="Palatino Linotype"/>
        </w:rPr>
        <w:t>) for your participation in the following sessions: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  <w:b/>
          <w:bCs/>
        </w:rPr>
      </w:pPr>
      <w:r w:rsidRPr="00E06A64">
        <w:rPr>
          <w:rFonts w:ascii="Palatino Linotype" w:hAnsi="Palatino Linotype"/>
        </w:rPr>
        <w:t xml:space="preserve">Session 1: </w:t>
      </w:r>
      <w:r w:rsidR="007C5FD5" w:rsidRPr="00E06A64">
        <w:rPr>
          <w:rFonts w:ascii="Palatino Linotype" w:hAnsi="Palatino Linotype"/>
          <w:b/>
          <w:bCs/>
          <w:lang/>
        </w:rPr>
        <w:t>Daily diagnostic dilemmas</w:t>
      </w:r>
      <w:r w:rsidR="007C5FD5" w:rsidRPr="00E06A64">
        <w:rPr>
          <w:rFonts w:ascii="Palatino Linotype" w:hAnsi="Palatino Linotype"/>
          <w:b/>
          <w:bCs/>
        </w:rPr>
        <w:t>, 16 October 18:00 – 19:30 CET</w:t>
      </w:r>
      <w:r w:rsidRPr="00E06A64">
        <w:rPr>
          <w:rFonts w:ascii="Palatino Linotype" w:hAnsi="Palatino Linotype"/>
        </w:rPr>
        <w:t xml:space="preserve"> </w:t>
      </w:r>
      <w:r w:rsidR="007C5FD5" w:rsidRPr="00E06A64">
        <w:rPr>
          <w:rFonts w:ascii="Palatino Linotype" w:hAnsi="Palatino Linotype"/>
        </w:rPr>
        <w:t>–</w:t>
      </w:r>
      <w:r w:rsidRPr="00E06A64">
        <w:rPr>
          <w:rFonts w:ascii="Palatino Linotype" w:hAnsi="Palatino Linotype"/>
        </w:rPr>
        <w:t xml:space="preserve"> </w:t>
      </w:r>
      <w:r w:rsidR="00E06A64" w:rsidRPr="00E06A64">
        <w:rPr>
          <w:rFonts w:ascii="Palatino Linotype" w:hAnsi="Palatino Linotype"/>
        </w:rPr>
        <w:t>1,5</w:t>
      </w:r>
      <w:r w:rsidR="007C5FD5" w:rsidRPr="00E06A64">
        <w:rPr>
          <w:rFonts w:ascii="Palatino Linotype" w:hAnsi="Palatino Linotype"/>
        </w:rPr>
        <w:t xml:space="preserve"> ECMEC</w:t>
      </w:r>
      <w:r w:rsidR="000B0964" w:rsidRPr="000B0964">
        <w:rPr>
          <w:rFonts w:ascii="Palatino Linotype" w:hAnsi="Palatino Linotype"/>
          <w:vertAlign w:val="superscript"/>
        </w:rPr>
        <w:t>®</w:t>
      </w:r>
    </w:p>
    <w:p w:rsidR="001303EF" w:rsidRPr="00E06A64" w:rsidRDefault="001303EF" w:rsidP="000B0964">
      <w:pPr>
        <w:jc w:val="both"/>
        <w:rPr>
          <w:rFonts w:ascii="Palatino Linotype" w:hAnsi="Palatino Linotype"/>
          <w:b/>
          <w:bCs/>
        </w:rPr>
      </w:pPr>
      <w:r w:rsidRPr="00E06A64">
        <w:rPr>
          <w:rFonts w:ascii="Palatino Linotype" w:hAnsi="Palatino Linotype"/>
        </w:rPr>
        <w:t xml:space="preserve">Session 2: </w:t>
      </w:r>
      <w:r w:rsidR="007C5FD5" w:rsidRPr="00E06A64">
        <w:rPr>
          <w:rFonts w:ascii="Palatino Linotype" w:hAnsi="Palatino Linotype"/>
          <w:b/>
          <w:bCs/>
          <w:lang/>
        </w:rPr>
        <w:t>When is an antibiotic regimen too long?</w:t>
      </w:r>
      <w:r w:rsidR="007C5FD5" w:rsidRPr="00E06A64">
        <w:rPr>
          <w:rFonts w:ascii="Palatino Linotype" w:hAnsi="Palatino Linotype"/>
          <w:b/>
          <w:bCs/>
        </w:rPr>
        <w:t xml:space="preserve"> 26 October, 18:00 – 19:30 CET </w:t>
      </w:r>
      <w:r w:rsidR="007C5FD5" w:rsidRPr="00E06A64">
        <w:rPr>
          <w:rFonts w:ascii="Palatino Linotype" w:hAnsi="Palatino Linotype"/>
        </w:rPr>
        <w:t xml:space="preserve">– </w:t>
      </w:r>
      <w:r w:rsidR="00E06A64" w:rsidRPr="00E06A64">
        <w:rPr>
          <w:rFonts w:ascii="Palatino Linotype" w:hAnsi="Palatino Linotype"/>
        </w:rPr>
        <w:t>1,5</w:t>
      </w:r>
      <w:r w:rsidR="007C5FD5" w:rsidRPr="00E06A64">
        <w:rPr>
          <w:rFonts w:ascii="Palatino Linotype" w:hAnsi="Palatino Linotype"/>
        </w:rPr>
        <w:t xml:space="preserve"> ECMEC</w:t>
      </w:r>
      <w:r w:rsidR="000B0964" w:rsidRPr="000B0964">
        <w:rPr>
          <w:rFonts w:ascii="Palatino Linotype" w:hAnsi="Palatino Linotype"/>
          <w:vertAlign w:val="superscript"/>
        </w:rPr>
        <w:t>®</w:t>
      </w:r>
    </w:p>
    <w:p w:rsidR="007C5FD5" w:rsidRPr="00E06A64" w:rsidRDefault="001303EF" w:rsidP="000B0964">
      <w:pPr>
        <w:jc w:val="both"/>
        <w:rPr>
          <w:rFonts w:ascii="Palatino Linotype" w:hAnsi="Palatino Linotype"/>
          <w:b/>
          <w:bCs/>
        </w:rPr>
      </w:pPr>
      <w:r w:rsidRPr="00E06A64">
        <w:rPr>
          <w:rFonts w:ascii="Palatino Linotype" w:hAnsi="Palatino Linotype"/>
        </w:rPr>
        <w:t xml:space="preserve">Session 3: </w:t>
      </w:r>
      <w:r w:rsidR="007C5FD5" w:rsidRPr="00E06A64">
        <w:rPr>
          <w:rFonts w:ascii="Palatino Linotype" w:hAnsi="Palatino Linotype"/>
          <w:b/>
          <w:bCs/>
          <w:lang/>
        </w:rPr>
        <w:t>AMR as trigger for severity</w:t>
      </w:r>
      <w:r w:rsidR="007C5FD5" w:rsidRPr="00E06A64">
        <w:rPr>
          <w:rFonts w:ascii="Palatino Linotype" w:hAnsi="Palatino Linotype"/>
          <w:b/>
          <w:bCs/>
        </w:rPr>
        <w:t xml:space="preserve">, 9 November 18:00 – 19:30 CET </w:t>
      </w:r>
      <w:r w:rsidR="007C5FD5" w:rsidRPr="00E06A64">
        <w:rPr>
          <w:rFonts w:ascii="Palatino Linotype" w:hAnsi="Palatino Linotype"/>
        </w:rPr>
        <w:t xml:space="preserve">– </w:t>
      </w:r>
      <w:r w:rsidR="00E06A64" w:rsidRPr="00E06A64">
        <w:rPr>
          <w:rFonts w:ascii="Palatino Linotype" w:hAnsi="Palatino Linotype"/>
        </w:rPr>
        <w:t>1,5</w:t>
      </w:r>
      <w:r w:rsidR="007C5FD5" w:rsidRPr="00E06A64">
        <w:rPr>
          <w:rFonts w:ascii="Palatino Linotype" w:hAnsi="Palatino Linotype"/>
        </w:rPr>
        <w:t xml:space="preserve"> ECMEC</w:t>
      </w:r>
      <w:r w:rsidR="000B0964" w:rsidRPr="000B0964">
        <w:rPr>
          <w:rFonts w:ascii="Palatino Linotype" w:hAnsi="Palatino Linotype"/>
          <w:vertAlign w:val="superscript"/>
        </w:rPr>
        <w:t>®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1303EF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 xml:space="preserve">Total ECMEC Credits: </w:t>
      </w:r>
      <w:r w:rsidR="00E06A64" w:rsidRPr="00E06A64">
        <w:rPr>
          <w:rFonts w:ascii="Palatino Linotype" w:hAnsi="Palatino Linotype"/>
        </w:rPr>
        <w:t>4,5</w:t>
      </w:r>
    </w:p>
    <w:p w:rsidR="00E06A64" w:rsidRP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E06A64" w:rsidP="000B096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16041</wp:posOffset>
                </wp:positionH>
                <wp:positionV relativeFrom="paragraph">
                  <wp:posOffset>106479</wp:posOffset>
                </wp:positionV>
                <wp:extent cx="5815263" cy="0"/>
                <wp:effectExtent l="0" t="0" r="14605" b="12700"/>
                <wp:wrapNone/>
                <wp:docPr id="15270723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6FF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4pt" to="459.1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:rsidR="001303EF" w:rsidRDefault="00E06A64" w:rsidP="000B096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Declaration:</w:t>
      </w:r>
    </w:p>
    <w:p w:rsidR="00E06A64" w:rsidRP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I confirm that I attended the entire duration of the specified webinar sessions and actively participated in the educational activities.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Participant's Signature: _________________________</w:t>
      </w:r>
    </w:p>
    <w:p w:rsidR="00E06A64" w:rsidRDefault="00E06A64" w:rsidP="000B0964">
      <w:pPr>
        <w:jc w:val="both"/>
        <w:rPr>
          <w:rFonts w:ascii="Palatino Linotype" w:hAnsi="Palatino Linotype"/>
        </w:rPr>
      </w:pP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>Date: _________________________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0B0964" w:rsidRDefault="000B0964" w:rsidP="000B0964">
      <w:pPr>
        <w:jc w:val="both"/>
        <w:rPr>
          <w:rFonts w:ascii="Palatino Linotype" w:hAnsi="Palatino Linotype"/>
          <w:b/>
          <w:bCs/>
        </w:rPr>
      </w:pPr>
    </w:p>
    <w:p w:rsidR="000B0964" w:rsidRDefault="000B0964" w:rsidP="000B0964">
      <w:pPr>
        <w:jc w:val="both"/>
        <w:rPr>
          <w:rFonts w:ascii="Palatino Linotype" w:hAnsi="Palatino Linotype"/>
          <w:b/>
          <w:bCs/>
        </w:rPr>
      </w:pPr>
    </w:p>
    <w:p w:rsidR="001303EF" w:rsidRPr="000B0964" w:rsidRDefault="001303EF" w:rsidP="000B0964">
      <w:pPr>
        <w:jc w:val="both"/>
        <w:rPr>
          <w:rFonts w:ascii="Palatino Linotype" w:hAnsi="Palatino Linotype"/>
          <w:b/>
          <w:bCs/>
        </w:rPr>
      </w:pPr>
      <w:r w:rsidRPr="000B0964">
        <w:rPr>
          <w:rFonts w:ascii="Palatino Linotype" w:hAnsi="Palatino Linotype"/>
          <w:b/>
          <w:bCs/>
        </w:rPr>
        <w:t xml:space="preserve">Instructions for </w:t>
      </w:r>
      <w:r w:rsidR="000B0964">
        <w:rPr>
          <w:rFonts w:ascii="Palatino Linotype" w:hAnsi="Palatino Linotype"/>
          <w:b/>
          <w:bCs/>
        </w:rPr>
        <w:t>s</w:t>
      </w:r>
      <w:r w:rsidRPr="000B0964">
        <w:rPr>
          <w:rFonts w:ascii="Palatino Linotype" w:hAnsi="Palatino Linotype"/>
          <w:b/>
          <w:bCs/>
        </w:rPr>
        <w:t>ubmission:</w:t>
      </w:r>
    </w:p>
    <w:p w:rsidR="001303EF" w:rsidRPr="00E06A64" w:rsidRDefault="001303EF" w:rsidP="000B0964">
      <w:pPr>
        <w:jc w:val="both"/>
        <w:rPr>
          <w:rFonts w:ascii="Palatino Linotype" w:hAnsi="Palatino Linotype"/>
        </w:rPr>
      </w:pPr>
    </w:p>
    <w:p w:rsidR="00E06A64" w:rsidRPr="000B0964" w:rsidRDefault="001303EF" w:rsidP="000B0964">
      <w:pPr>
        <w:jc w:val="both"/>
        <w:rPr>
          <w:rFonts w:ascii="Palatino Linotype" w:hAnsi="Palatino Linotype"/>
        </w:rPr>
      </w:pPr>
      <w:r w:rsidRPr="00E06A64">
        <w:rPr>
          <w:rFonts w:ascii="Palatino Linotype" w:hAnsi="Palatino Linotype"/>
        </w:rPr>
        <w:t xml:space="preserve">Please return this form to </w:t>
      </w:r>
      <w:r w:rsidR="007C5FD5" w:rsidRPr="00E06A64">
        <w:rPr>
          <w:rFonts w:ascii="Palatino Linotype" w:hAnsi="Palatino Linotype"/>
        </w:rPr>
        <w:t>the Euro</w:t>
      </w:r>
      <w:r w:rsidR="00E06A64">
        <w:rPr>
          <w:rFonts w:ascii="Palatino Linotype" w:hAnsi="Palatino Linotype"/>
        </w:rPr>
        <w:t>pea</w:t>
      </w:r>
      <w:r w:rsidR="007C5FD5" w:rsidRPr="00E06A64">
        <w:rPr>
          <w:rFonts w:ascii="Palatino Linotype" w:hAnsi="Palatino Linotype"/>
        </w:rPr>
        <w:t>n Sepsis Alliance</w:t>
      </w:r>
      <w:r w:rsidRPr="00E06A64">
        <w:rPr>
          <w:rFonts w:ascii="Palatino Linotype" w:hAnsi="Palatino Linotype"/>
        </w:rPr>
        <w:t xml:space="preserve"> via email at </w:t>
      </w:r>
      <w:r w:rsidR="00E06A64" w:rsidRPr="00E06A64">
        <w:rPr>
          <w:rFonts w:ascii="Palatino Linotype" w:hAnsi="Palatino Linotype"/>
        </w:rPr>
        <w:t>esa@global-sepsis-alliance.org</w:t>
      </w:r>
      <w:r w:rsidRPr="00E06A64">
        <w:rPr>
          <w:rFonts w:ascii="Palatino Linotype" w:hAnsi="Palatino Linotype"/>
        </w:rPr>
        <w:t>. Certificates will be issued upon verification of attendance and participation.</w:t>
      </w:r>
    </w:p>
    <w:p w:rsidR="00E06A64" w:rsidRPr="000B0964" w:rsidRDefault="000B0964" w:rsidP="000B09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B0964">
        <w:rPr>
          <w:rFonts w:ascii="Palatino Linotype" w:hAnsi="Palatino Linotype"/>
        </w:rPr>
        <w:t xml:space="preserve">Each of the three webinars </w:t>
      </w:r>
      <w:r w:rsidRPr="000B0964">
        <w:rPr>
          <w:rFonts w:ascii="Palatino Linotype" w:hAnsi="Palatino Linotype"/>
        </w:rPr>
        <w:t>of the series “</w:t>
      </w:r>
      <w:r w:rsidRPr="00E06A64">
        <w:rPr>
          <w:rFonts w:ascii="Palatino Linotype" w:hAnsi="Palatino Linotype"/>
        </w:rPr>
        <w:t xml:space="preserve">Antimicrobial stewardship, a role for biomarkers" </w:t>
      </w:r>
      <w:r w:rsidRPr="000B0964">
        <w:rPr>
          <w:rFonts w:ascii="Palatino Linotype" w:hAnsi="Palatino Linotype"/>
        </w:rPr>
        <w:t xml:space="preserve">have been </w:t>
      </w:r>
      <w:r w:rsidR="00E06A64" w:rsidRPr="00E06A64">
        <w:rPr>
          <w:rFonts w:ascii="Palatino Linotype" w:hAnsi="Palatino Linotype"/>
        </w:rPr>
        <w:t xml:space="preserve">accredited by the European Accreditation Council for Continuing Medical Education (EACCME®) with 1.5 European CME credits (ECMEC®s). Each medical specialist should claim only those hours of credit that he/she actually spent in the educational activity.” </w:t>
      </w:r>
    </w:p>
    <w:p w:rsidR="00E06A64" w:rsidRPr="00E06A64" w:rsidRDefault="00E06A64" w:rsidP="000B0964">
      <w:pPr>
        <w:pStyle w:val="NormalWeb"/>
        <w:jc w:val="both"/>
        <w:rPr>
          <w:rFonts w:ascii="Palatino Linotype" w:hAnsi="Palatino Linotype"/>
          <w:sz w:val="36"/>
          <w:szCs w:val="36"/>
        </w:rPr>
      </w:pPr>
      <w:r w:rsidRPr="00E06A64">
        <w:rPr>
          <w:rFonts w:ascii="Palatino Linotype" w:hAnsi="Palatino Linotype"/>
        </w:rPr>
        <w:t xml:space="preserve">“Through an agreement between the Union </w:t>
      </w:r>
      <w:proofErr w:type="spellStart"/>
      <w:r w:rsidRPr="00E06A64">
        <w:rPr>
          <w:rFonts w:ascii="Palatino Linotype" w:hAnsi="Palatino Linotype"/>
        </w:rPr>
        <w:t>Européenne</w:t>
      </w:r>
      <w:proofErr w:type="spellEnd"/>
      <w:r w:rsidRPr="00E06A64">
        <w:rPr>
          <w:rFonts w:ascii="Palatino Linotype" w:hAnsi="Palatino Linotype"/>
        </w:rPr>
        <w:t xml:space="preserve"> des </w:t>
      </w:r>
      <w:proofErr w:type="spellStart"/>
      <w:r w:rsidRPr="00E06A64">
        <w:rPr>
          <w:rFonts w:ascii="Palatino Linotype" w:hAnsi="Palatino Linotype"/>
        </w:rPr>
        <w:t>Médecins</w:t>
      </w:r>
      <w:proofErr w:type="spellEnd"/>
      <w:r w:rsidRPr="00E06A64">
        <w:rPr>
          <w:rFonts w:ascii="Palatino Linotype" w:hAnsi="Palatino Linotype"/>
        </w:rPr>
        <w:t xml:space="preserve"> </w:t>
      </w:r>
      <w:proofErr w:type="spellStart"/>
      <w:r w:rsidRPr="00E06A64">
        <w:rPr>
          <w:rFonts w:ascii="Palatino Linotype" w:hAnsi="Palatino Linotype"/>
        </w:rPr>
        <w:t>Spécialistes</w:t>
      </w:r>
      <w:proofErr w:type="spellEnd"/>
      <w:r w:rsidRPr="00E06A64">
        <w:rPr>
          <w:rFonts w:ascii="Palatino Linotype" w:hAnsi="Palatino Linotype"/>
        </w:rPr>
        <w:t xml:space="preserve"> and the American Medical Association, physicians may convert EACCME® credits to an equivalent number of AMA PRA Category 1 </w:t>
      </w:r>
      <w:proofErr w:type="spellStart"/>
      <w:r w:rsidRPr="00E06A64">
        <w:rPr>
          <w:rFonts w:ascii="Palatino Linotype" w:hAnsi="Palatino Linotype"/>
        </w:rPr>
        <w:t>Credits</w:t>
      </w:r>
      <w:r w:rsidRPr="000B0964">
        <w:rPr>
          <w:rFonts w:ascii="Palatino Linotype" w:hAnsi="Palatino Linotype"/>
          <w:vertAlign w:val="superscript"/>
        </w:rPr>
        <w:t>TM</w:t>
      </w:r>
      <w:proofErr w:type="spellEnd"/>
      <w:r w:rsidRPr="00E06A64">
        <w:rPr>
          <w:rFonts w:ascii="Palatino Linotype" w:hAnsi="Palatino Linotype"/>
        </w:rPr>
        <w:t xml:space="preserve">. Information on the process to convert EACCME® credit to AMA credit can be found at </w:t>
      </w:r>
      <w:r w:rsidRPr="00E06A64">
        <w:rPr>
          <w:rFonts w:ascii="Palatino Linotype" w:hAnsi="Palatino Linotype"/>
          <w:color w:val="0C6DFC"/>
        </w:rPr>
        <w:t>https://edhub.ama-assn.org/pages/applications</w:t>
      </w:r>
      <w:r w:rsidRPr="00E06A64">
        <w:rPr>
          <w:rFonts w:ascii="Palatino Linotype" w:hAnsi="Palatino Linotype"/>
        </w:rPr>
        <w:t xml:space="preserve">.” </w:t>
      </w:r>
    </w:p>
    <w:p w:rsidR="00E06A64" w:rsidRPr="00E06A64" w:rsidRDefault="00E06A64" w:rsidP="000B0964">
      <w:pPr>
        <w:pStyle w:val="NormalWeb"/>
        <w:jc w:val="both"/>
        <w:rPr>
          <w:rFonts w:ascii="Palatino Linotype" w:hAnsi="Palatino Linotype"/>
          <w:sz w:val="36"/>
          <w:szCs w:val="36"/>
        </w:rPr>
      </w:pPr>
      <w:r w:rsidRPr="00E06A64">
        <w:rPr>
          <w:rFonts w:ascii="Palatino Linotype" w:hAnsi="Palatino Linotype"/>
        </w:rPr>
        <w:t xml:space="preserve">“Live educational activities, occurring outside of Canada, </w:t>
      </w:r>
      <w:proofErr w:type="spellStart"/>
      <w:r w:rsidRPr="00E06A64">
        <w:rPr>
          <w:rFonts w:ascii="Palatino Linotype" w:hAnsi="Palatino Linotype"/>
        </w:rPr>
        <w:t>recognised</w:t>
      </w:r>
      <w:proofErr w:type="spellEnd"/>
      <w:r w:rsidRPr="00E06A64">
        <w:rPr>
          <w:rFonts w:ascii="Palatino Linotype" w:hAnsi="Palatino Linotype"/>
        </w:rPr>
        <w:t xml:space="preserve"> by the UEMS-EACCME® for ECMEC®s are deemed to be Accredited Group Learning Activities (Section 1) as defined by the Maintenance of Certification Program of the Royal College of Physicians and Surgeons of Canada.” </w:t>
      </w:r>
    </w:p>
    <w:p w:rsidR="00E06A64" w:rsidRPr="00E06A64" w:rsidRDefault="00E06A64" w:rsidP="000B0964">
      <w:pPr>
        <w:pStyle w:val="NormalWeb"/>
        <w:jc w:val="both"/>
        <w:rPr>
          <w:rFonts w:ascii="Palatino Linotype" w:hAnsi="Palatino Linotype"/>
          <w:sz w:val="36"/>
          <w:szCs w:val="36"/>
        </w:rPr>
      </w:pPr>
      <w:r w:rsidRPr="00E06A64">
        <w:rPr>
          <w:rFonts w:ascii="Palatino Linotype" w:hAnsi="Palatino Linotype"/>
        </w:rPr>
        <w:t xml:space="preserve">Information regarding the conversion of EACCME® credits </w:t>
      </w:r>
    </w:p>
    <w:p w:rsidR="00E06A64" w:rsidRPr="00E06A64" w:rsidRDefault="00E06A64" w:rsidP="000B0964">
      <w:pPr>
        <w:pStyle w:val="NormalWeb"/>
        <w:jc w:val="both"/>
        <w:rPr>
          <w:rFonts w:ascii="Palatino Linotype" w:hAnsi="Palatino Linotype"/>
          <w:sz w:val="36"/>
          <w:szCs w:val="36"/>
        </w:rPr>
      </w:pPr>
      <w:r w:rsidRPr="00E06A64">
        <w:rPr>
          <w:rFonts w:ascii="Palatino Linotype" w:hAnsi="Palatino Linotype"/>
        </w:rPr>
        <w:t xml:space="preserve">Credit will be converted based on one (1) hour of participation </w:t>
      </w:r>
      <w:proofErr w:type="spellStart"/>
      <w:r w:rsidRPr="00E06A64">
        <w:rPr>
          <w:rFonts w:ascii="Palatino Linotype" w:hAnsi="Palatino Linotype"/>
        </w:rPr>
        <w:t>equalling</w:t>
      </w:r>
      <w:proofErr w:type="spellEnd"/>
      <w:r w:rsidRPr="00E06A64">
        <w:rPr>
          <w:rFonts w:ascii="Palatino Linotype" w:hAnsi="Palatino Linotype"/>
        </w:rPr>
        <w:t xml:space="preserve"> one credit for all activities. Physicians wishing to convert EACCME® credits to AMA PRA Category 1 </w:t>
      </w:r>
      <w:proofErr w:type="spellStart"/>
      <w:r w:rsidRPr="00E06A64">
        <w:rPr>
          <w:rFonts w:ascii="Palatino Linotype" w:hAnsi="Palatino Linotype"/>
        </w:rPr>
        <w:t>Credit</w:t>
      </w:r>
      <w:r w:rsidRPr="000B0964">
        <w:rPr>
          <w:rFonts w:ascii="Palatino Linotype" w:hAnsi="Palatino Linotype"/>
          <w:vertAlign w:val="superscript"/>
        </w:rPr>
        <w:t>TM</w:t>
      </w:r>
      <w:proofErr w:type="spellEnd"/>
      <w:r w:rsidRPr="00E06A64">
        <w:rPr>
          <w:rFonts w:ascii="Palatino Linotype" w:hAnsi="Palatino Linotype"/>
        </w:rPr>
        <w:t xml:space="preserve"> will be required to access the AMA website at </w:t>
      </w:r>
      <w:r w:rsidRPr="00E06A64">
        <w:rPr>
          <w:rFonts w:ascii="Palatino Linotype" w:hAnsi="Palatino Linotype"/>
          <w:color w:val="0C6DFC"/>
        </w:rPr>
        <w:t>https://edhub.ama- assn.org/pages/</w:t>
      </w:r>
      <w:proofErr w:type="spellStart"/>
      <w:r w:rsidRPr="00E06A64">
        <w:rPr>
          <w:rFonts w:ascii="Palatino Linotype" w:hAnsi="Palatino Linotype"/>
          <w:color w:val="0C6DFC"/>
        </w:rPr>
        <w:t>applictations</w:t>
      </w:r>
      <w:proofErr w:type="spellEnd"/>
      <w:r w:rsidRPr="00E06A64">
        <w:rPr>
          <w:rFonts w:ascii="Palatino Linotype" w:hAnsi="Palatino Linotype"/>
          <w:color w:val="0C6DFC"/>
        </w:rPr>
        <w:t xml:space="preserve"> </w:t>
      </w:r>
      <w:r w:rsidRPr="00E06A64">
        <w:rPr>
          <w:rFonts w:ascii="Palatino Linotype" w:hAnsi="Palatino Linotype"/>
        </w:rPr>
        <w:t xml:space="preserve">to obtain the necessary paperwork and instructions. Physicians and other health care professionals will be required to pay a processing fee to the AMA. </w:t>
      </w:r>
    </w:p>
    <w:p w:rsidR="00E06A64" w:rsidRPr="00E06A64" w:rsidRDefault="00E06A64" w:rsidP="000B0964">
      <w:pPr>
        <w:pStyle w:val="NormalWeb"/>
        <w:jc w:val="both"/>
        <w:rPr>
          <w:rFonts w:ascii="Palatino Linotype" w:hAnsi="Palatino Linotype"/>
          <w:sz w:val="36"/>
          <w:szCs w:val="36"/>
        </w:rPr>
      </w:pPr>
      <w:r w:rsidRPr="00E06A64">
        <w:rPr>
          <w:rFonts w:ascii="Palatino Linotype" w:hAnsi="Palatino Linotype"/>
        </w:rPr>
        <w:t xml:space="preserve">For other countries, please contact the relevant national/regional accreditation authority. </w:t>
      </w:r>
    </w:p>
    <w:p w:rsidR="00E06A64" w:rsidRPr="00E06A64" w:rsidRDefault="00E06A64" w:rsidP="000B0964">
      <w:pPr>
        <w:jc w:val="both"/>
        <w:rPr>
          <w:rFonts w:ascii="Palatino Linotype" w:hAnsi="Palatino Linotype"/>
          <w:sz w:val="36"/>
          <w:szCs w:val="36"/>
        </w:rPr>
      </w:pPr>
    </w:p>
    <w:sectPr w:rsidR="00E06A64" w:rsidRPr="00E06A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E6F" w:rsidRDefault="009D4E6F" w:rsidP="00E06A64">
      <w:r>
        <w:separator/>
      </w:r>
    </w:p>
  </w:endnote>
  <w:endnote w:type="continuationSeparator" w:id="0">
    <w:p w:rsidR="009D4E6F" w:rsidRDefault="009D4E6F" w:rsidP="00E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E6F" w:rsidRDefault="009D4E6F" w:rsidP="00E06A64">
      <w:r>
        <w:separator/>
      </w:r>
    </w:p>
  </w:footnote>
  <w:footnote w:type="continuationSeparator" w:id="0">
    <w:p w:rsidR="009D4E6F" w:rsidRDefault="009D4E6F" w:rsidP="00E0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A64" w:rsidRPr="00E06A64" w:rsidRDefault="00E06A64" w:rsidP="00E06A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-125095</wp:posOffset>
          </wp:positionV>
          <wp:extent cx="1104900" cy="1104900"/>
          <wp:effectExtent l="0" t="0" r="0" b="0"/>
          <wp:wrapSquare wrapText="bothSides"/>
          <wp:docPr id="517491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491437" name="Picture 5174914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EF"/>
    <w:rsid w:val="000B0964"/>
    <w:rsid w:val="001303EF"/>
    <w:rsid w:val="00567F9C"/>
    <w:rsid w:val="007C5FD5"/>
    <w:rsid w:val="009D4E6F"/>
    <w:rsid w:val="00E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1EFAA"/>
  <w15:chartTrackingRefBased/>
  <w15:docId w15:val="{F31D64A2-43C0-9B4A-B80B-A2996D8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64"/>
  </w:style>
  <w:style w:type="paragraph" w:styleId="Footer">
    <w:name w:val="footer"/>
    <w:basedOn w:val="Normal"/>
    <w:link w:val="FooterChar"/>
    <w:uiPriority w:val="99"/>
    <w:unhideWhenUsed/>
    <w:rsid w:val="00E0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64"/>
  </w:style>
  <w:style w:type="paragraph" w:styleId="NormalWeb">
    <w:name w:val="Normal (Web)"/>
    <w:basedOn w:val="Normal"/>
    <w:uiPriority w:val="99"/>
    <w:semiHidden/>
    <w:unhideWhenUsed/>
    <w:rsid w:val="00E06A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2023-11-10T16:15:00Z</dcterms:created>
  <dcterms:modified xsi:type="dcterms:W3CDTF">2023-11-23T11:08:00Z</dcterms:modified>
</cp:coreProperties>
</file>